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0A8D2" w14:textId="7F28DD4C" w:rsidR="00967063" w:rsidRDefault="002B3307" w:rsidP="002B3307">
      <w:pPr>
        <w:widowControl/>
        <w:jc w:val="center"/>
        <w:rPr>
          <w:noProof/>
        </w:rPr>
      </w:pPr>
      <w:bookmarkStart w:id="0" w:name="_Hlk72759808"/>
      <w:r>
        <w:rPr>
          <w:noProof/>
        </w:rPr>
        <w:drawing>
          <wp:inline distT="0" distB="0" distL="0" distR="0" wp14:anchorId="380F00D3" wp14:editId="06A4E7A5">
            <wp:extent cx="2437200" cy="914400"/>
            <wp:effectExtent l="0" t="0" r="127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7200" cy="914400"/>
                    </a:xfrm>
                    <a:prstGeom prst="rect">
                      <a:avLst/>
                    </a:prstGeom>
                  </pic:spPr>
                </pic:pic>
              </a:graphicData>
            </a:graphic>
          </wp:inline>
        </w:drawing>
      </w:r>
    </w:p>
    <w:p w14:paraId="5DBEBAAC" w14:textId="77777777" w:rsidR="002B3307" w:rsidRDefault="002B3307" w:rsidP="002B3307">
      <w:pPr>
        <w:widowControl/>
        <w:jc w:val="center"/>
        <w:rPr>
          <w:noProof/>
        </w:rPr>
      </w:pPr>
    </w:p>
    <w:p w14:paraId="702DC212" w14:textId="337F1153" w:rsidR="003618E1" w:rsidRDefault="009451F0" w:rsidP="002B3307">
      <w:pPr>
        <w:widowControl/>
        <w:jc w:val="center"/>
        <w:rPr>
          <w:noProof/>
        </w:rPr>
      </w:pPr>
      <w:r>
        <w:rPr>
          <w:noProof/>
        </w:rPr>
        <w:drawing>
          <wp:inline distT="0" distB="0" distL="0" distR="0" wp14:anchorId="10635206" wp14:editId="7F576B25">
            <wp:extent cx="3981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81600" cy="914400"/>
                    </a:xfrm>
                    <a:prstGeom prst="rect">
                      <a:avLst/>
                    </a:prstGeom>
                  </pic:spPr>
                </pic:pic>
              </a:graphicData>
            </a:graphic>
          </wp:inline>
        </w:drawing>
      </w:r>
    </w:p>
    <w:p w14:paraId="2CC87784" w14:textId="77777777" w:rsidR="002B3307" w:rsidRDefault="002B3307" w:rsidP="002B3307">
      <w:pPr>
        <w:widowControl/>
        <w:jc w:val="center"/>
        <w:rPr>
          <w:noProof/>
        </w:rPr>
      </w:pPr>
    </w:p>
    <w:p w14:paraId="70E8FBDC" w14:textId="6D77995F" w:rsidR="002B25FA" w:rsidRDefault="00585E3B" w:rsidP="002B3307">
      <w:pPr>
        <w:widowControl/>
        <w:jc w:val="center"/>
        <w:rPr>
          <w:rFonts w:ascii="Times New Roman" w:eastAsia="MS PGothic" w:hAnsi="Times New Roman" w:cs="Times New Roman"/>
          <w:kern w:val="0"/>
          <w:sz w:val="28"/>
          <w:szCs w:val="28"/>
        </w:rPr>
      </w:pPr>
      <w:r>
        <w:rPr>
          <w:rFonts w:ascii="Times New Roman" w:eastAsia="MS PGothic" w:hAnsi="Times New Roman" w:cs="Times New Roman"/>
          <w:noProof/>
          <w:kern w:val="0"/>
          <w:sz w:val="28"/>
          <w:szCs w:val="28"/>
        </w:rPr>
        <w:drawing>
          <wp:inline distT="0" distB="0" distL="0" distR="0" wp14:anchorId="612A218E" wp14:editId="57B67236">
            <wp:extent cx="2570400" cy="9144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400" cy="914400"/>
                    </a:xfrm>
                    <a:prstGeom prst="rect">
                      <a:avLst/>
                    </a:prstGeom>
                    <a:noFill/>
                    <a:ln>
                      <a:noFill/>
                    </a:ln>
                  </pic:spPr>
                </pic:pic>
              </a:graphicData>
            </a:graphic>
          </wp:inline>
        </w:drawing>
      </w:r>
    </w:p>
    <w:p w14:paraId="2CACE062" w14:textId="77777777" w:rsidR="002B3307" w:rsidRDefault="002B3307" w:rsidP="002B3307">
      <w:pPr>
        <w:widowControl/>
        <w:jc w:val="center"/>
        <w:rPr>
          <w:rFonts w:ascii="Times New Roman" w:eastAsia="MS PGothic" w:hAnsi="Times New Roman" w:cs="Times New Roman"/>
          <w:b/>
          <w:bCs/>
          <w:kern w:val="0"/>
          <w:sz w:val="28"/>
          <w:szCs w:val="28"/>
        </w:rPr>
      </w:pPr>
      <w:bookmarkStart w:id="1" w:name="_Hlk72761496"/>
      <w:bookmarkEnd w:id="0"/>
    </w:p>
    <w:p w14:paraId="3794B1A2" w14:textId="0D48608E" w:rsidR="002B3307" w:rsidRDefault="002B3307" w:rsidP="002B3307">
      <w:pPr>
        <w:widowControl/>
        <w:jc w:val="center"/>
        <w:rPr>
          <w:rFonts w:ascii="Times New Roman" w:eastAsia="MS PGothic" w:hAnsi="Times New Roman" w:cs="Times New Roman"/>
          <w:b/>
          <w:bCs/>
          <w:kern w:val="0"/>
          <w:sz w:val="28"/>
          <w:szCs w:val="28"/>
        </w:rPr>
      </w:pPr>
      <w:r>
        <w:rPr>
          <w:rFonts w:ascii="Times New Roman" w:eastAsia="MS PGothic" w:hAnsi="Times New Roman" w:cs="Times New Roman"/>
          <w:b/>
          <w:bCs/>
          <w:kern w:val="0"/>
          <w:sz w:val="28"/>
          <w:szCs w:val="28"/>
        </w:rPr>
        <w:t>JOINT PRESS RELEASE</w:t>
      </w:r>
    </w:p>
    <w:p w14:paraId="72D5DC39" w14:textId="77777777" w:rsidR="002B3307" w:rsidRDefault="002B3307" w:rsidP="002B3307">
      <w:pPr>
        <w:widowControl/>
        <w:jc w:val="center"/>
        <w:rPr>
          <w:rFonts w:ascii="Times New Roman" w:eastAsia="MS PGothic" w:hAnsi="Times New Roman" w:cs="Times New Roman"/>
          <w:b/>
          <w:bCs/>
          <w:kern w:val="0"/>
          <w:sz w:val="28"/>
          <w:szCs w:val="28"/>
        </w:rPr>
      </w:pPr>
    </w:p>
    <w:p w14:paraId="23166781" w14:textId="5E6F672C" w:rsidR="009133C7" w:rsidRPr="002B25FA" w:rsidRDefault="009133C7" w:rsidP="002B3307">
      <w:pPr>
        <w:widowControl/>
        <w:jc w:val="center"/>
        <w:rPr>
          <w:rFonts w:ascii="Calibri" w:eastAsia="MS PGothic" w:hAnsi="Calibri" w:cs="Calibri"/>
          <w:b/>
          <w:bCs/>
          <w:kern w:val="0"/>
          <w:sz w:val="22"/>
        </w:rPr>
      </w:pPr>
      <w:r w:rsidRPr="002B25FA">
        <w:rPr>
          <w:rFonts w:ascii="Times New Roman" w:eastAsia="MS PGothic" w:hAnsi="Times New Roman" w:cs="Times New Roman"/>
          <w:b/>
          <w:bCs/>
          <w:kern w:val="0"/>
          <w:sz w:val="28"/>
          <w:szCs w:val="28"/>
        </w:rPr>
        <w:t>SUPPORT FOR TAIWAN’S MEANINGFUL ENGAGEMENT WITH THE WORLD HEALTH ORGANIZATION</w:t>
      </w:r>
      <w:r w:rsidR="002B25FA">
        <w:rPr>
          <w:rFonts w:ascii="Times New Roman" w:eastAsia="MS PGothic" w:hAnsi="Times New Roman" w:cs="Times New Roman"/>
          <w:b/>
          <w:bCs/>
          <w:kern w:val="0"/>
          <w:sz w:val="28"/>
          <w:szCs w:val="28"/>
        </w:rPr>
        <w:t xml:space="preserve"> </w:t>
      </w:r>
      <w:r w:rsidRPr="002B25FA">
        <w:rPr>
          <w:rFonts w:ascii="Times New Roman" w:eastAsia="MS PGothic" w:hAnsi="Times New Roman" w:cs="Times New Roman"/>
          <w:b/>
          <w:bCs/>
          <w:kern w:val="0"/>
          <w:sz w:val="28"/>
          <w:szCs w:val="28"/>
        </w:rPr>
        <w:t>AND PARTICIPATION AS AN OBSERVER IN THE WORLD HEALTH ASSEMBLY</w:t>
      </w:r>
    </w:p>
    <w:p w14:paraId="2D8D8938" w14:textId="77777777" w:rsidR="009133C7" w:rsidRPr="009133C7" w:rsidRDefault="009133C7" w:rsidP="002B3307">
      <w:pPr>
        <w:widowControl/>
        <w:jc w:val="left"/>
        <w:rPr>
          <w:rFonts w:ascii="Calibri" w:eastAsia="MS PGothic" w:hAnsi="Calibri" w:cs="Calibri"/>
          <w:kern w:val="0"/>
          <w:sz w:val="22"/>
        </w:rPr>
      </w:pPr>
      <w:r w:rsidRPr="009133C7">
        <w:rPr>
          <w:rFonts w:ascii="Times New Roman" w:eastAsia="MS PGothic" w:hAnsi="Times New Roman" w:cs="Times New Roman"/>
          <w:kern w:val="0"/>
          <w:sz w:val="28"/>
          <w:szCs w:val="28"/>
        </w:rPr>
        <w:t> </w:t>
      </w:r>
    </w:p>
    <w:p w14:paraId="29D5FC84" w14:textId="1568FE03" w:rsidR="009133C7" w:rsidRPr="002B25FA" w:rsidRDefault="009133C7" w:rsidP="002B3307">
      <w:pPr>
        <w:widowControl/>
        <w:jc w:val="left"/>
        <w:rPr>
          <w:rFonts w:ascii="Calibri" w:eastAsia="MS PGothic" w:hAnsi="Calibri" w:cs="Calibri"/>
          <w:kern w:val="0"/>
          <w:sz w:val="24"/>
          <w:szCs w:val="24"/>
        </w:rPr>
      </w:pPr>
      <w:r w:rsidRPr="002B25FA">
        <w:rPr>
          <w:rFonts w:ascii="Times New Roman" w:eastAsia="MS PGothic" w:hAnsi="Times New Roman" w:cs="Times New Roman"/>
          <w:kern w:val="0"/>
          <w:sz w:val="24"/>
          <w:szCs w:val="24"/>
        </w:rPr>
        <w:t>We, the American Institute in Taiwan, the Japan-Taiwan Exchange Association and the Australia</w:t>
      </w:r>
      <w:r w:rsidR="00590A23" w:rsidRPr="002B25FA">
        <w:rPr>
          <w:rFonts w:ascii="Times New Roman" w:eastAsia="MS PGothic" w:hAnsi="Times New Roman" w:cs="Times New Roman"/>
          <w:kern w:val="0"/>
          <w:sz w:val="24"/>
          <w:szCs w:val="24"/>
        </w:rPr>
        <w:t>n</w:t>
      </w:r>
      <w:r w:rsidRPr="002B25FA">
        <w:rPr>
          <w:rFonts w:ascii="Times New Roman" w:eastAsia="MS PGothic" w:hAnsi="Times New Roman" w:cs="Times New Roman"/>
          <w:kern w:val="0"/>
          <w:sz w:val="24"/>
          <w:szCs w:val="24"/>
        </w:rPr>
        <w:t xml:space="preserve"> Office in Taipei, wish to express our support for Taiwan’s meaningful participation in the work of the World Health Organization, and Taiwan’s participation as an observer in the World Health Assembly.</w:t>
      </w:r>
    </w:p>
    <w:bookmarkEnd w:id="1"/>
    <w:p w14:paraId="11451F42" w14:textId="77777777" w:rsidR="009133C7" w:rsidRPr="002B25FA" w:rsidRDefault="009133C7" w:rsidP="002B3307">
      <w:pPr>
        <w:widowControl/>
        <w:jc w:val="left"/>
        <w:rPr>
          <w:rFonts w:ascii="Calibri" w:eastAsia="MS PGothic" w:hAnsi="Calibri" w:cs="Calibri"/>
          <w:kern w:val="0"/>
          <w:sz w:val="24"/>
          <w:szCs w:val="24"/>
        </w:rPr>
      </w:pPr>
      <w:r w:rsidRPr="002B25FA">
        <w:rPr>
          <w:rFonts w:ascii="Times New Roman" w:eastAsia="MS PGothic" w:hAnsi="Times New Roman" w:cs="Times New Roman"/>
          <w:kern w:val="0"/>
          <w:sz w:val="24"/>
          <w:szCs w:val="24"/>
        </w:rPr>
        <w:t> </w:t>
      </w:r>
    </w:p>
    <w:p w14:paraId="23CCEF82" w14:textId="40549B01" w:rsidR="009133C7" w:rsidRPr="002B25FA" w:rsidRDefault="009133C7" w:rsidP="002B3307">
      <w:pPr>
        <w:widowControl/>
        <w:jc w:val="left"/>
        <w:rPr>
          <w:rFonts w:ascii="Calibri" w:eastAsia="MS PGothic" w:hAnsi="Calibri" w:cs="Calibri"/>
          <w:kern w:val="0"/>
          <w:sz w:val="24"/>
          <w:szCs w:val="24"/>
        </w:rPr>
      </w:pPr>
      <w:r w:rsidRPr="002B25FA">
        <w:rPr>
          <w:rFonts w:ascii="Times New Roman" w:eastAsia="MS PGothic" w:hAnsi="Times New Roman" w:cs="Times New Roman"/>
          <w:kern w:val="0"/>
          <w:sz w:val="24"/>
          <w:szCs w:val="24"/>
        </w:rPr>
        <w:t xml:space="preserve">Taiwan is </w:t>
      </w:r>
      <w:r w:rsidR="00590A23" w:rsidRPr="002B25FA">
        <w:rPr>
          <w:rFonts w:ascii="Times New Roman" w:eastAsia="MS PGothic" w:hAnsi="Times New Roman" w:cs="Times New Roman"/>
          <w:kern w:val="0"/>
          <w:sz w:val="24"/>
          <w:szCs w:val="24"/>
        </w:rPr>
        <w:t xml:space="preserve">experiencing a challenging </w:t>
      </w:r>
      <w:r w:rsidRPr="002B25FA">
        <w:rPr>
          <w:rFonts w:ascii="Times New Roman" w:eastAsia="MS PGothic" w:hAnsi="Times New Roman" w:cs="Times New Roman"/>
          <w:kern w:val="0"/>
          <w:sz w:val="24"/>
          <w:szCs w:val="24"/>
        </w:rPr>
        <w:t xml:space="preserve">time right now, </w:t>
      </w:r>
      <w:r w:rsidR="00590A23" w:rsidRPr="002B25FA">
        <w:rPr>
          <w:rFonts w:ascii="Times New Roman" w:eastAsia="MS PGothic" w:hAnsi="Times New Roman" w:cs="Times New Roman"/>
          <w:kern w:val="0"/>
          <w:sz w:val="24"/>
          <w:szCs w:val="24"/>
        </w:rPr>
        <w:t xml:space="preserve">as health authorities work diligently to counter </w:t>
      </w:r>
      <w:r w:rsidRPr="002B25FA">
        <w:rPr>
          <w:rFonts w:ascii="Times New Roman" w:eastAsia="MS PGothic" w:hAnsi="Times New Roman" w:cs="Times New Roman"/>
          <w:kern w:val="0"/>
          <w:sz w:val="24"/>
          <w:szCs w:val="24"/>
        </w:rPr>
        <w:t>its first significant threat from community transmission. Nonetheless, Taiwan’s early response to the emergence of COVID-19, its rigorous testing strategies, robust border measures and its information transparency remain a public health success story, and contributed to one of lowest incidences of the disease in the world.</w:t>
      </w:r>
    </w:p>
    <w:p w14:paraId="080D217A" w14:textId="77777777" w:rsidR="009133C7" w:rsidRPr="002B25FA" w:rsidRDefault="009133C7" w:rsidP="002B3307">
      <w:pPr>
        <w:widowControl/>
        <w:jc w:val="left"/>
        <w:rPr>
          <w:rFonts w:ascii="Calibri" w:eastAsia="MS PGothic" w:hAnsi="Calibri" w:cs="Calibri"/>
          <w:kern w:val="0"/>
          <w:sz w:val="24"/>
          <w:szCs w:val="24"/>
        </w:rPr>
      </w:pPr>
      <w:r w:rsidRPr="002B25FA">
        <w:rPr>
          <w:rFonts w:ascii="Times New Roman" w:eastAsia="MS PGothic" w:hAnsi="Times New Roman" w:cs="Times New Roman"/>
          <w:kern w:val="0"/>
          <w:sz w:val="24"/>
          <w:szCs w:val="24"/>
        </w:rPr>
        <w:t> </w:t>
      </w:r>
    </w:p>
    <w:p w14:paraId="7AC9F13A" w14:textId="38FFEFD9" w:rsidR="009133C7" w:rsidRPr="002B25FA" w:rsidRDefault="009133C7" w:rsidP="002B3307">
      <w:pPr>
        <w:widowControl/>
        <w:jc w:val="left"/>
        <w:rPr>
          <w:rFonts w:ascii="Calibri" w:eastAsia="MS PGothic" w:hAnsi="Calibri" w:cs="Calibri"/>
          <w:kern w:val="0"/>
          <w:sz w:val="24"/>
          <w:szCs w:val="24"/>
        </w:rPr>
      </w:pPr>
      <w:r w:rsidRPr="002B25FA">
        <w:rPr>
          <w:rFonts w:ascii="Times New Roman" w:eastAsia="MS PGothic" w:hAnsi="Times New Roman" w:cs="Times New Roman"/>
          <w:kern w:val="0"/>
          <w:sz w:val="24"/>
          <w:szCs w:val="24"/>
        </w:rPr>
        <w:t xml:space="preserve">As COVID-19 cases continue to increase around the world, Taiwan shared its expertise with others during the Global Cooperation and Training Framework (GCTF) forum on “COVID-19 Vaccine Rollout: Experiences and Challenges” on 18 May in Taipei, with </w:t>
      </w:r>
      <w:r w:rsidRPr="002B25FA">
        <w:rPr>
          <w:rFonts w:ascii="Times New Roman" w:eastAsia="MS PGothic" w:hAnsi="Times New Roman" w:cs="Times New Roman"/>
          <w:kern w:val="0"/>
          <w:sz w:val="24"/>
          <w:szCs w:val="24"/>
        </w:rPr>
        <w:lastRenderedPageBreak/>
        <w:t>participants joining virtually from around the world. Sponsored by Taiwan</w:t>
      </w:r>
      <w:r w:rsidR="00590A23" w:rsidRPr="002B25FA">
        <w:rPr>
          <w:rFonts w:ascii="Times New Roman" w:eastAsia="MS PGothic" w:hAnsi="Times New Roman" w:cs="Times New Roman"/>
          <w:kern w:val="0"/>
          <w:sz w:val="24"/>
          <w:szCs w:val="24"/>
        </w:rPr>
        <w:t>’s Ministry of Foreign Affairs</w:t>
      </w:r>
      <w:r w:rsidRPr="002B25FA">
        <w:rPr>
          <w:rFonts w:ascii="Times New Roman" w:eastAsia="MS PGothic" w:hAnsi="Times New Roman" w:cs="Times New Roman"/>
          <w:kern w:val="0"/>
          <w:sz w:val="24"/>
          <w:szCs w:val="24"/>
        </w:rPr>
        <w:t>, the American Institute in Taiwan, the Japan-Taiwan Exchange Association, the Australia</w:t>
      </w:r>
      <w:r w:rsidR="00590A23" w:rsidRPr="002B25FA">
        <w:rPr>
          <w:rFonts w:ascii="Times New Roman" w:eastAsia="MS PGothic" w:hAnsi="Times New Roman" w:cs="Times New Roman"/>
          <w:kern w:val="0"/>
          <w:sz w:val="24"/>
          <w:szCs w:val="24"/>
        </w:rPr>
        <w:t>n</w:t>
      </w:r>
      <w:r w:rsidRPr="002B25FA">
        <w:rPr>
          <w:rFonts w:ascii="Times New Roman" w:eastAsia="MS PGothic" w:hAnsi="Times New Roman" w:cs="Times New Roman"/>
          <w:kern w:val="0"/>
          <w:sz w:val="24"/>
          <w:szCs w:val="24"/>
        </w:rPr>
        <w:t xml:space="preserve"> Office in Taipei and other partners, the forum was designed to share best practices with health practitioners from participating countries.</w:t>
      </w:r>
    </w:p>
    <w:p w14:paraId="303828D8" w14:textId="77777777" w:rsidR="009133C7" w:rsidRPr="002B25FA" w:rsidRDefault="009133C7" w:rsidP="002B3307">
      <w:pPr>
        <w:widowControl/>
        <w:jc w:val="left"/>
        <w:rPr>
          <w:rFonts w:ascii="Calibri" w:eastAsia="MS PGothic" w:hAnsi="Calibri" w:cs="Calibri"/>
          <w:kern w:val="0"/>
          <w:sz w:val="24"/>
          <w:szCs w:val="24"/>
        </w:rPr>
      </w:pPr>
      <w:r w:rsidRPr="002B25FA">
        <w:rPr>
          <w:rFonts w:ascii="Times New Roman" w:eastAsia="MS PGothic" w:hAnsi="Times New Roman" w:cs="Times New Roman"/>
          <w:kern w:val="0"/>
          <w:sz w:val="24"/>
          <w:szCs w:val="24"/>
        </w:rPr>
        <w:t> </w:t>
      </w:r>
    </w:p>
    <w:p w14:paraId="7583BA29" w14:textId="5ED5226C" w:rsidR="009133C7" w:rsidRPr="002B25FA" w:rsidRDefault="009133C7" w:rsidP="002B3307">
      <w:pPr>
        <w:widowControl/>
        <w:jc w:val="left"/>
        <w:rPr>
          <w:rFonts w:ascii="Calibri" w:eastAsia="MS PGothic" w:hAnsi="Calibri" w:cs="Calibri"/>
          <w:kern w:val="0"/>
          <w:sz w:val="24"/>
          <w:szCs w:val="24"/>
        </w:rPr>
      </w:pPr>
      <w:r w:rsidRPr="002B25FA">
        <w:rPr>
          <w:rFonts w:ascii="Times New Roman" w:eastAsia="MS PGothic" w:hAnsi="Times New Roman" w:cs="Times New Roman"/>
          <w:kern w:val="0"/>
          <w:sz w:val="24"/>
          <w:szCs w:val="24"/>
        </w:rPr>
        <w:t xml:space="preserve">Taiwan has received well-deserved acclaim for </w:t>
      </w:r>
      <w:r w:rsidR="002B3307">
        <w:rPr>
          <w:rFonts w:ascii="Times New Roman" w:eastAsia="MS PGothic" w:hAnsi="Times New Roman" w:cs="Times New Roman"/>
          <w:kern w:val="0"/>
          <w:sz w:val="24"/>
          <w:szCs w:val="24"/>
        </w:rPr>
        <w:t>its</w:t>
      </w:r>
      <w:r w:rsidRPr="002B25FA">
        <w:rPr>
          <w:rFonts w:ascii="Times New Roman" w:eastAsia="MS PGothic" w:hAnsi="Times New Roman" w:cs="Times New Roman"/>
          <w:kern w:val="0"/>
          <w:sz w:val="24"/>
          <w:szCs w:val="24"/>
        </w:rPr>
        <w:t xml:space="preserve"> accomplishments on global health security, including in the </w:t>
      </w:r>
      <w:bookmarkStart w:id="2" w:name="_Hlk72756478"/>
      <w:r w:rsidRPr="002B25FA">
        <w:rPr>
          <w:rFonts w:ascii="Times New Roman" w:eastAsia="MS PGothic" w:hAnsi="Times New Roman" w:cs="Times New Roman"/>
          <w:kern w:val="0"/>
          <w:sz w:val="24"/>
          <w:szCs w:val="24"/>
        </w:rPr>
        <w:t xml:space="preserve">G7 Foreign </w:t>
      </w:r>
      <w:r w:rsidR="00420597" w:rsidRPr="002B25FA">
        <w:rPr>
          <w:rFonts w:ascii="Times New Roman" w:eastAsia="MS PGothic" w:hAnsi="Times New Roman" w:cs="Times New Roman" w:hint="eastAsia"/>
          <w:kern w:val="0"/>
          <w:sz w:val="24"/>
          <w:szCs w:val="24"/>
        </w:rPr>
        <w:t>and</w:t>
      </w:r>
      <w:r w:rsidR="00420597" w:rsidRPr="002B25FA">
        <w:rPr>
          <w:rFonts w:ascii="Times New Roman" w:eastAsia="MS PGothic" w:hAnsi="Times New Roman" w:cs="Times New Roman"/>
          <w:kern w:val="0"/>
          <w:sz w:val="24"/>
          <w:szCs w:val="24"/>
        </w:rPr>
        <w:t xml:space="preserve"> Development </w:t>
      </w:r>
      <w:r w:rsidRPr="002B25FA">
        <w:rPr>
          <w:rFonts w:ascii="Times New Roman" w:eastAsia="MS PGothic" w:hAnsi="Times New Roman" w:cs="Times New Roman"/>
          <w:kern w:val="0"/>
          <w:sz w:val="24"/>
          <w:szCs w:val="24"/>
        </w:rPr>
        <w:t>Ministers’ Communique</w:t>
      </w:r>
      <w:bookmarkEnd w:id="2"/>
      <w:r w:rsidRPr="002B25FA">
        <w:rPr>
          <w:rFonts w:ascii="Times New Roman" w:eastAsia="MS PGothic" w:hAnsi="Times New Roman" w:cs="Times New Roman"/>
          <w:kern w:val="0"/>
          <w:sz w:val="24"/>
          <w:szCs w:val="24"/>
        </w:rPr>
        <w:t xml:space="preserve"> earlier this month. However, as this year’s 74th session of the World Health Assembly </w:t>
      </w:r>
      <w:r w:rsidR="00590A23" w:rsidRPr="002B25FA">
        <w:rPr>
          <w:rFonts w:ascii="Times New Roman" w:eastAsia="MS PGothic" w:hAnsi="Times New Roman" w:cs="Times New Roman"/>
          <w:kern w:val="0"/>
          <w:sz w:val="24"/>
          <w:szCs w:val="24"/>
        </w:rPr>
        <w:t xml:space="preserve">commences </w:t>
      </w:r>
      <w:r w:rsidRPr="002B25FA">
        <w:rPr>
          <w:rFonts w:ascii="Times New Roman" w:eastAsia="MS PGothic" w:hAnsi="Times New Roman" w:cs="Times New Roman"/>
          <w:kern w:val="0"/>
          <w:sz w:val="24"/>
          <w:szCs w:val="24"/>
        </w:rPr>
        <w:t>in Geneva, we also recognize that Taiwan is largely excluded from the world’s international health system.</w:t>
      </w:r>
    </w:p>
    <w:p w14:paraId="5989B2F9" w14:textId="77777777" w:rsidR="009133C7" w:rsidRPr="002B25FA" w:rsidRDefault="009133C7" w:rsidP="002B3307">
      <w:pPr>
        <w:widowControl/>
        <w:jc w:val="left"/>
        <w:rPr>
          <w:rFonts w:ascii="Calibri" w:eastAsia="MS PGothic" w:hAnsi="Calibri" w:cs="Calibri"/>
          <w:kern w:val="0"/>
          <w:sz w:val="24"/>
          <w:szCs w:val="24"/>
        </w:rPr>
      </w:pPr>
      <w:r w:rsidRPr="002B25FA">
        <w:rPr>
          <w:rFonts w:ascii="Times New Roman" w:eastAsia="MS PGothic" w:hAnsi="Times New Roman" w:cs="Times New Roman"/>
          <w:kern w:val="0"/>
          <w:sz w:val="24"/>
          <w:szCs w:val="24"/>
        </w:rPr>
        <w:t> </w:t>
      </w:r>
    </w:p>
    <w:p w14:paraId="12A3F2DF" w14:textId="77777777" w:rsidR="009133C7" w:rsidRPr="002B25FA" w:rsidRDefault="009133C7" w:rsidP="002B3307">
      <w:pPr>
        <w:widowControl/>
        <w:jc w:val="left"/>
        <w:rPr>
          <w:rFonts w:ascii="Calibri" w:eastAsia="MS PGothic" w:hAnsi="Calibri" w:cs="Calibri"/>
          <w:kern w:val="0"/>
          <w:sz w:val="24"/>
          <w:szCs w:val="24"/>
        </w:rPr>
      </w:pPr>
      <w:r w:rsidRPr="002B25FA">
        <w:rPr>
          <w:rFonts w:ascii="Times New Roman" w:eastAsia="MS PGothic" w:hAnsi="Times New Roman" w:cs="Times New Roman"/>
          <w:kern w:val="0"/>
          <w:sz w:val="24"/>
          <w:szCs w:val="24"/>
        </w:rPr>
        <w:t>Taiwan’s meaningful participation in the World Health Organization’s forums and technical committees would not only benefit the 24 million people of Taiwan, it would benefit our citizens and the world. The pandemic has highlighted Taiwan’s capacity to research, develop, produce and supply effective treatments, including some promising vaccine candidates. The pandemic has also highlighted Taiwan’s importance as a reliable supplier of quality personal protective equipment. Taiwan’s donations of such equipment to countries in need demonstrates a willingness and capability to help.</w:t>
      </w:r>
    </w:p>
    <w:p w14:paraId="36A90484" w14:textId="77777777" w:rsidR="009133C7" w:rsidRPr="002B25FA" w:rsidRDefault="009133C7" w:rsidP="002B3307">
      <w:pPr>
        <w:widowControl/>
        <w:jc w:val="left"/>
        <w:rPr>
          <w:rFonts w:ascii="Calibri" w:eastAsia="MS PGothic" w:hAnsi="Calibri" w:cs="Calibri"/>
          <w:kern w:val="0"/>
          <w:sz w:val="24"/>
          <w:szCs w:val="24"/>
        </w:rPr>
      </w:pPr>
      <w:r w:rsidRPr="002B25FA">
        <w:rPr>
          <w:rFonts w:ascii="Times New Roman" w:eastAsia="MS PGothic" w:hAnsi="Times New Roman" w:cs="Times New Roman"/>
          <w:kern w:val="0"/>
          <w:sz w:val="24"/>
          <w:szCs w:val="24"/>
        </w:rPr>
        <w:t> </w:t>
      </w:r>
    </w:p>
    <w:p w14:paraId="0D1F1BF1" w14:textId="77777777" w:rsidR="009133C7" w:rsidRPr="002B25FA" w:rsidRDefault="009133C7" w:rsidP="002B3307">
      <w:pPr>
        <w:widowControl/>
        <w:jc w:val="left"/>
        <w:rPr>
          <w:rFonts w:ascii="Calibri" w:eastAsia="MS PGothic" w:hAnsi="Calibri" w:cs="Calibri"/>
          <w:kern w:val="0"/>
          <w:sz w:val="24"/>
          <w:szCs w:val="24"/>
        </w:rPr>
      </w:pPr>
      <w:r w:rsidRPr="002B25FA">
        <w:rPr>
          <w:rFonts w:ascii="Times New Roman" w:eastAsia="MS PGothic" w:hAnsi="Times New Roman" w:cs="Times New Roman"/>
          <w:kern w:val="0"/>
          <w:sz w:val="24"/>
          <w:szCs w:val="24"/>
        </w:rPr>
        <w:t>As global infection rates continue to soar, the world cannot afford to exclude any population from international health networks. Global monitoring and early warning systems that detect emerging infectious diseases need to be inclusive. Vaccinations need to be made available everywhere to be fully effective.</w:t>
      </w:r>
    </w:p>
    <w:p w14:paraId="7D7F93CF" w14:textId="77777777" w:rsidR="009133C7" w:rsidRPr="002B25FA" w:rsidRDefault="009133C7" w:rsidP="002B3307">
      <w:pPr>
        <w:widowControl/>
        <w:jc w:val="left"/>
        <w:rPr>
          <w:rFonts w:ascii="Calibri" w:eastAsia="MS PGothic" w:hAnsi="Calibri" w:cs="Calibri"/>
          <w:kern w:val="0"/>
          <w:sz w:val="24"/>
          <w:szCs w:val="24"/>
        </w:rPr>
      </w:pPr>
      <w:r w:rsidRPr="002B25FA">
        <w:rPr>
          <w:rFonts w:ascii="Times New Roman" w:eastAsia="MS PGothic" w:hAnsi="Times New Roman" w:cs="Times New Roman"/>
          <w:kern w:val="0"/>
          <w:sz w:val="24"/>
          <w:szCs w:val="24"/>
        </w:rPr>
        <w:t> </w:t>
      </w:r>
    </w:p>
    <w:p w14:paraId="2256734C" w14:textId="72E78023" w:rsidR="009133C7" w:rsidRPr="002B25FA" w:rsidRDefault="009133C7" w:rsidP="002B3307">
      <w:pPr>
        <w:widowControl/>
        <w:jc w:val="left"/>
        <w:rPr>
          <w:rFonts w:ascii="Calibri" w:eastAsia="MS PGothic" w:hAnsi="Calibri" w:cs="Calibri"/>
          <w:kern w:val="0"/>
          <w:sz w:val="24"/>
          <w:szCs w:val="24"/>
        </w:rPr>
      </w:pPr>
      <w:r w:rsidRPr="002B25FA">
        <w:rPr>
          <w:rFonts w:ascii="Times New Roman" w:eastAsia="MS PGothic" w:hAnsi="Times New Roman" w:cs="Times New Roman"/>
          <w:kern w:val="0"/>
          <w:sz w:val="24"/>
          <w:szCs w:val="24"/>
        </w:rPr>
        <w:t>We therefore call for the substantive participation of all active members of the international health community in the World Health Assembly. Excluding some members compromises global health and safety. It’s time to bring Taiwan on board.</w:t>
      </w:r>
    </w:p>
    <w:p w14:paraId="6991F144" w14:textId="77777777" w:rsidR="009133C7" w:rsidRPr="009133C7" w:rsidRDefault="009133C7" w:rsidP="002B3307">
      <w:pPr>
        <w:widowControl/>
        <w:jc w:val="left"/>
        <w:rPr>
          <w:rFonts w:ascii="MS PGothic" w:eastAsia="MS PGothic" w:hAnsi="MS PGothic" w:cs="MS PGothic"/>
          <w:kern w:val="0"/>
          <w:sz w:val="24"/>
          <w:szCs w:val="24"/>
        </w:rPr>
      </w:pPr>
    </w:p>
    <w:p w14:paraId="1EE1A28F" w14:textId="77777777" w:rsidR="00991745" w:rsidRPr="009133C7" w:rsidRDefault="00991745" w:rsidP="002B3307"/>
    <w:sectPr w:rsidR="00991745" w:rsidRPr="009133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2DB45" w14:textId="77777777" w:rsidR="00E82014" w:rsidRDefault="00E82014"/>
  </w:endnote>
  <w:endnote w:type="continuationSeparator" w:id="0">
    <w:p w14:paraId="3A11AF45" w14:textId="77777777" w:rsidR="00E82014" w:rsidRDefault="00E82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9F5F0" w14:textId="77777777" w:rsidR="00E82014" w:rsidRDefault="00E82014"/>
  </w:footnote>
  <w:footnote w:type="continuationSeparator" w:id="0">
    <w:p w14:paraId="27B59F6C" w14:textId="77777777" w:rsidR="00E82014" w:rsidRDefault="00E8201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C7"/>
    <w:rsid w:val="00007436"/>
    <w:rsid w:val="00057BCD"/>
    <w:rsid w:val="001B783A"/>
    <w:rsid w:val="002B25FA"/>
    <w:rsid w:val="002B3307"/>
    <w:rsid w:val="003618E1"/>
    <w:rsid w:val="00420597"/>
    <w:rsid w:val="00585E3B"/>
    <w:rsid w:val="00590A23"/>
    <w:rsid w:val="006676DF"/>
    <w:rsid w:val="009133C7"/>
    <w:rsid w:val="009451F0"/>
    <w:rsid w:val="00967063"/>
    <w:rsid w:val="00991745"/>
    <w:rsid w:val="00A24C32"/>
    <w:rsid w:val="00D771B7"/>
    <w:rsid w:val="00E82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98DA7C"/>
  <w15:chartTrackingRefBased/>
  <w15:docId w15:val="{5C5E681A-660C-40D2-B18B-1BA4D696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C32"/>
    <w:pPr>
      <w:widowControl w:val="0"/>
      <w:jc w:val="both"/>
    </w:pPr>
    <w:rPr>
      <w:rFonts w:ascii="MS Mincho" w:eastAsia="MS Mincho" w:hAnsi="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3C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133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424</Words>
  <Characters>2536</Characters>
  <Application>Microsoft Office Word</Application>
  <DocSecurity>0</DocSecurity>
  <Lines>55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外務省</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[SEC=OFFICIAL]</cp:keywords>
  <dc:description/>
  <cp:lastModifiedBy>Nick Bayly</cp:lastModifiedBy>
  <cp:revision>4</cp:revision>
  <cp:lastPrinted>2021-05-21T09:48:00Z</cp:lastPrinted>
  <dcterms:created xsi:type="dcterms:W3CDTF">2021-05-24T07:30:00Z</dcterms:created>
  <dcterms:modified xsi:type="dcterms:W3CDTF">2021-05-25T00:43:00Z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711F865F9D3641F697D2687076B5252E</vt:lpwstr>
  </property>
  <property fmtid="{D5CDD505-2E9C-101B-9397-08002B2CF9AE}" pid="9" name="PM_ProtectiveMarkingValue_Footer">
    <vt:lpwstr>OFFICIAL</vt:lpwstr>
  </property>
  <property fmtid="{D5CDD505-2E9C-101B-9397-08002B2CF9AE}" pid="10" name="PM_Originator_Hash_SHA1">
    <vt:lpwstr>30CBBC872D35FCBE221A977D8537DD095AB61E2B</vt:lpwstr>
  </property>
  <property fmtid="{D5CDD505-2E9C-101B-9397-08002B2CF9AE}" pid="11" name="PM_OriginationTimeStamp">
    <vt:lpwstr>2021-05-25T00:42:45Z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293765CB5D19F606E975292A74B35A2C</vt:lpwstr>
  </property>
  <property fmtid="{D5CDD505-2E9C-101B-9397-08002B2CF9AE}" pid="20" name="PM_Hash_Salt">
    <vt:lpwstr>16BF48CB7C214EB66558D3B455D3C347</vt:lpwstr>
  </property>
  <property fmtid="{D5CDD505-2E9C-101B-9397-08002B2CF9AE}" pid="21" name="PM_Hash_SHA1">
    <vt:lpwstr>7389366C8551D084F483294BA9AFA960AD216347</vt:lpwstr>
  </property>
  <property fmtid="{D5CDD505-2E9C-101B-9397-08002B2CF9AE}" pid="22" name="PM_SecurityClassification_Prev">
    <vt:lpwstr>OFFICIAL</vt:lpwstr>
  </property>
  <property fmtid="{D5CDD505-2E9C-101B-9397-08002B2CF9AE}" pid="23" name="PM_Qualifier_Prev">
    <vt:lpwstr/>
  </property>
</Properties>
</file>